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3CB3876D" w:rsidR="00D65A24" w:rsidRPr="00B11F6B" w:rsidRDefault="00A6579E" w:rsidP="00D3767E">
      <w:pPr>
        <w:jc w:val="center"/>
        <w:rPr>
          <w:b/>
        </w:rPr>
      </w:pPr>
      <w:r w:rsidRPr="00A6579E">
        <w:rPr>
          <w:rStyle w:val="Naglaeno"/>
          <w:rFonts w:cstheme="minorHAnsi"/>
        </w:rPr>
        <w:t xml:space="preserve">Viši savjetnik  za proračun, financije i računovodstvo </w:t>
      </w:r>
      <w:r w:rsidR="00CE60B3" w:rsidRPr="005425D2">
        <w:rPr>
          <w:rFonts w:cstheme="minorHAnsi"/>
          <w:b/>
        </w:rPr>
        <w:t>– 1 izvršitelj</w:t>
      </w:r>
    </w:p>
    <w:p w14:paraId="0C2C6486" w14:textId="24B2CAE9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3C42C3" w:rsidRPr="00E65C46">
        <w:t>58</w:t>
      </w:r>
      <w:r w:rsidR="00601E61">
        <w:t>/</w:t>
      </w:r>
      <w:r w:rsidR="00DA0E88">
        <w:t>20</w:t>
      </w:r>
      <w:r w:rsidR="00601E61">
        <w:t>2</w:t>
      </w:r>
      <w:r w:rsidR="00CC6C10">
        <w:t>2</w:t>
      </w:r>
      <w:r w:rsidR="00601E61">
        <w:t xml:space="preserve"> od </w:t>
      </w:r>
      <w:r w:rsidR="0015320C">
        <w:t>25</w:t>
      </w:r>
      <w:r w:rsidR="00CC6C10">
        <w:t xml:space="preserve">. </w:t>
      </w:r>
      <w:r w:rsidR="00EC517F">
        <w:t>svibnja</w:t>
      </w:r>
      <w:r w:rsidR="00CC6C10">
        <w:t xml:space="preserve"> </w:t>
      </w:r>
      <w:r w:rsidR="00601E61">
        <w:t>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69A8DF22" w14:textId="77777777" w:rsidR="00A6579E" w:rsidRDefault="00A6579E" w:rsidP="00A6579E">
      <w:pPr>
        <w:pStyle w:val="Odlomakpopisa"/>
        <w:numPr>
          <w:ilvl w:val="0"/>
          <w:numId w:val="5"/>
        </w:numPr>
        <w:jc w:val="both"/>
      </w:pPr>
      <w:r>
        <w:t>priprema upute proračunskim korisnicima za izradu prijedloga proračuna, priprema prijedlog proračuna te izmjena i dopuna proračuna i prateće akte te obrazloženje istih u dijelu nadležnosti Odsjeka, podnosi mjesečna izvješća o izvršenju proračuna, sastavlja polugodišnji i godišnji izvještaj o izvršenju proračuna te obrazloženje istih u dijelu nadležnosti Odsjeka, priprema podatke te sastavlja druga izvješ</w:t>
      </w:r>
      <w:bookmarkStart w:id="0" w:name="_GoBack"/>
      <w:bookmarkEnd w:id="0"/>
      <w:r>
        <w:t>ća i analize iz djelokruga rada za potrebe općinskih tijela i vanjskih korisnika</w:t>
      </w:r>
    </w:p>
    <w:p w14:paraId="0E851530" w14:textId="77777777" w:rsidR="00A6579E" w:rsidRDefault="00A6579E" w:rsidP="00A6579E">
      <w:pPr>
        <w:pStyle w:val="Odlomakpopisa"/>
        <w:numPr>
          <w:ilvl w:val="0"/>
          <w:numId w:val="5"/>
        </w:numPr>
        <w:jc w:val="both"/>
      </w:pPr>
      <w:r>
        <w:t>koordinira i prati rad službenika unutar Odsjeka za proračun, financije i računovodstvo, osigurava primjenu propisa iz djelokruga rada Odsjeka,  prati računovodstveno i financijsko poslovanje unutar riznice, brine o pravovremenom i ispravnom izvršavanju radnih zadataka i obveza Odsjeka te o izvršavanju odluka, zaključaka i drugih akata općinskih tijela iz svoje nadležnosti</w:t>
      </w:r>
    </w:p>
    <w:p w14:paraId="228A9341" w14:textId="77777777" w:rsidR="00A6579E" w:rsidRDefault="00A6579E" w:rsidP="00A6579E">
      <w:pPr>
        <w:pStyle w:val="Odlomakpopisa"/>
        <w:numPr>
          <w:ilvl w:val="0"/>
          <w:numId w:val="5"/>
        </w:numPr>
        <w:jc w:val="both"/>
      </w:pPr>
      <w:r>
        <w:t>predlaže pravovremeno donošenje novih općih ili internih akata te usklađenje postojećih s propisima, priprema prijedloge odluka i drugih akata u okviru svoje nadležnosti te po potrebi sudjeluje u izradi akata iz nadležnosti drugih odsjeka</w:t>
      </w:r>
    </w:p>
    <w:p w14:paraId="393FDCA9" w14:textId="77777777" w:rsidR="00A6579E" w:rsidRDefault="00A6579E" w:rsidP="00A6579E">
      <w:pPr>
        <w:pStyle w:val="Odlomakpopisa"/>
        <w:numPr>
          <w:ilvl w:val="0"/>
          <w:numId w:val="5"/>
        </w:numPr>
        <w:jc w:val="both"/>
      </w:pPr>
      <w:r>
        <w:t xml:space="preserve">izrađuje prijedlog programa rada, financijskog plana i izvješće o radu Odsjeka, usklađuje, koordinira i kontrolira izradu drugih povremenih izvještaja iz djelokruga Odsjeka  </w:t>
      </w:r>
    </w:p>
    <w:p w14:paraId="62011423" w14:textId="77777777" w:rsidR="00A6579E" w:rsidRDefault="00A6579E" w:rsidP="00A6579E">
      <w:pPr>
        <w:pStyle w:val="Odlomakpopisa"/>
        <w:numPr>
          <w:ilvl w:val="0"/>
          <w:numId w:val="5"/>
        </w:numPr>
        <w:jc w:val="both"/>
      </w:pPr>
      <w:r>
        <w:t>prati realizaciju prihoda i rashoda proračuna, usklađuje dinamiku izvršenja proračunskih izdataka s planom proračuna i izvorima financiranja te predlaže mjere za ekonomiziranje raspoloživim sredstvima te mjere za osiguranje proračunske likvidnosti, prati i usklađuje izvršavanje financijskih planova proračunskih i izvanproračunskih korisnika s planom proračuna</w:t>
      </w:r>
    </w:p>
    <w:p w14:paraId="5E6E6D43" w14:textId="77777777" w:rsidR="00A6579E" w:rsidRDefault="00A6579E" w:rsidP="00A6579E">
      <w:pPr>
        <w:pStyle w:val="Odlomakpopisa"/>
        <w:numPr>
          <w:ilvl w:val="0"/>
          <w:numId w:val="5"/>
        </w:numPr>
        <w:jc w:val="both"/>
      </w:pPr>
      <w:r>
        <w:t>sastavlja prijedlog plana nabave Odsjeka, priprema dokumentaciju za provođenje postupaka javne nabave (tehničke specifikacije, troškovnik, kriteriji za odabir i uvjeti izvršenja ugovora), provodi postupak jednostavne nabave za potrebe Odsjeka, sastavlja prijedloge ugovora temeljem provedenih postupaka nabave u okviru nadležnosti Odsjeka te prati njihovu realizaciju</w:t>
      </w:r>
    </w:p>
    <w:p w14:paraId="4D62886B" w14:textId="77777777" w:rsidR="00A6579E" w:rsidRDefault="00A6579E" w:rsidP="00A6579E">
      <w:pPr>
        <w:pStyle w:val="Odlomakpopisa"/>
        <w:numPr>
          <w:ilvl w:val="0"/>
          <w:numId w:val="5"/>
        </w:numPr>
        <w:jc w:val="both"/>
      </w:pPr>
      <w:r>
        <w:t>predlaže mjere za unapređenje informacijskog sustava i uvođenje novih programskih aplikacija iz nadležnosti Odsjeka te vezanih aplikacija ostalih sustava</w:t>
      </w:r>
    </w:p>
    <w:p w14:paraId="3D8B0938" w14:textId="5C4D3B68" w:rsidR="00CC6C10" w:rsidRDefault="00A6579E" w:rsidP="00A6579E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nadležnosti, po potrebi sudjeluje u radu općinskih tijela te izvršava naloge pročelnika koji se odnose na službu.</w:t>
      </w:r>
    </w:p>
    <w:p w14:paraId="42505CCD" w14:textId="22237E08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15320C" w:rsidRPr="0015320C">
        <w:rPr>
          <w:b/>
        </w:rPr>
        <w:t>13.446,95 kn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59EF001A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 xml:space="preserve">na </w:t>
      </w:r>
      <w:r w:rsidR="00A6579E">
        <w:t>natječaj</w:t>
      </w:r>
      <w:r>
        <w:t>.</w:t>
      </w:r>
    </w:p>
    <w:p w14:paraId="10858029" w14:textId="43389B34" w:rsidR="00CC5A2B" w:rsidRDefault="00CC5A2B" w:rsidP="00EC0C22">
      <w:pPr>
        <w:jc w:val="both"/>
      </w:pPr>
      <w:r>
        <w:lastRenderedPageBreak/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 xml:space="preserve">će pozvani na intervju putem e-maila navedenog na prijavi na </w:t>
      </w:r>
      <w:r w:rsidR="00A6579E">
        <w:t>natječaj</w:t>
      </w:r>
      <w:r>
        <w:t>.</w:t>
      </w:r>
    </w:p>
    <w:p w14:paraId="464719FC" w14:textId="5FEC4EE3" w:rsidR="00AF032D" w:rsidRDefault="00AF032D" w:rsidP="00AF032D">
      <w:pPr>
        <w:jc w:val="both"/>
      </w:pPr>
      <w:r w:rsidRPr="00AF032D">
        <w:t>Područje pisanog testiranja obuhvaća područje lokalne i područne (regionalne) samouprave, proračunsko planiranje i izvještavanje, izvršavanje proračuna i financijskog plana, upravljanje i raspolaganje imovinom, financiranje jedinica lokalne samouprave, zaduživanje jedinica lokalne samouprave, proračunsko računovodstvo i računski plan, sustav proračunske riznice i proračunski korisnici, financijsko izvještavanje u proračunskom računovodstvu, proračunske klasifikacije, fiskalna odgovornost, lokalni porezi, porez na dodanu vrijednost, obračun plaća i drugih primanja zaposlenih, obračun drugog dohotka, financiranje komunalnih djelatnosti, javna nabava, uredsko poslovanje, službenički odnosi.</w:t>
      </w:r>
    </w:p>
    <w:p w14:paraId="30BCA49A" w14:textId="5AE36F67" w:rsidR="00AF032D" w:rsidRDefault="00AF032D" w:rsidP="00AF032D">
      <w:pPr>
        <w:spacing w:after="0"/>
        <w:jc w:val="both"/>
        <w:rPr>
          <w:b/>
          <w:bCs/>
        </w:rPr>
      </w:pPr>
      <w:r>
        <w:rPr>
          <w:b/>
          <w:bCs/>
        </w:rPr>
        <w:t>Pravni i drugi izvori provjere znanja:</w:t>
      </w:r>
    </w:p>
    <w:p w14:paraId="5003696F" w14:textId="6F9E2628" w:rsidR="00AF032D" w:rsidRPr="00AF032D" w:rsidRDefault="00AF032D" w:rsidP="00AF032D">
      <w:pPr>
        <w:pStyle w:val="Odlomakpopisa"/>
        <w:numPr>
          <w:ilvl w:val="0"/>
          <w:numId w:val="9"/>
        </w:numPr>
        <w:spacing w:after="0"/>
        <w:jc w:val="both"/>
      </w:pPr>
      <w:r w:rsidRPr="00AF032D">
        <w:rPr>
          <w:rFonts w:eastAsia="Times New Roman"/>
        </w:rPr>
        <w:t>Zakon o lokalnoj i područnoj (regionalnoj) samoupravi (N</w:t>
      </w:r>
      <w:r>
        <w:rPr>
          <w:rFonts w:eastAsia="Times New Roman"/>
        </w:rPr>
        <w:t>N</w:t>
      </w:r>
      <w:r w:rsidRPr="00AF032D">
        <w:rPr>
          <w:rFonts w:eastAsia="Times New Roman"/>
        </w:rPr>
        <w:t xml:space="preserve"> br. 33/01, 60/01, 129/05, 109/07, 125/08, 36/09, 36/09, 150/11, 144/12, 19/13, 137/15, 123/17, 98/19, 144/20)</w:t>
      </w:r>
    </w:p>
    <w:p w14:paraId="2DF097B9" w14:textId="0E9596AB" w:rsidR="00AF032D" w:rsidRPr="00AF032D" w:rsidRDefault="00AF032D" w:rsidP="00AF032D">
      <w:pPr>
        <w:pStyle w:val="Odlomakpopisa"/>
        <w:numPr>
          <w:ilvl w:val="0"/>
          <w:numId w:val="9"/>
        </w:numPr>
        <w:spacing w:after="0"/>
        <w:jc w:val="both"/>
      </w:pPr>
      <w:r w:rsidRPr="00AF032D">
        <w:rPr>
          <w:rFonts w:eastAsia="Times New Roman"/>
        </w:rPr>
        <w:t>Zakon o proračunu (</w:t>
      </w:r>
      <w:r>
        <w:rPr>
          <w:rFonts w:eastAsia="Times New Roman"/>
        </w:rPr>
        <w:t>NN</w:t>
      </w:r>
      <w:r w:rsidRPr="00AF032D">
        <w:rPr>
          <w:rFonts w:eastAsia="Times New Roman"/>
        </w:rPr>
        <w:t xml:space="preserve"> br. 144/21)</w:t>
      </w:r>
    </w:p>
    <w:p w14:paraId="2AF11CA8" w14:textId="03158BFF" w:rsidR="00AF032D" w:rsidRPr="00AF032D" w:rsidRDefault="00AF032D" w:rsidP="00AF032D">
      <w:pPr>
        <w:pStyle w:val="Odlomakpopisa"/>
        <w:numPr>
          <w:ilvl w:val="0"/>
          <w:numId w:val="9"/>
        </w:numPr>
        <w:spacing w:after="0"/>
        <w:jc w:val="both"/>
      </w:pPr>
      <w:r w:rsidRPr="00AF032D">
        <w:rPr>
          <w:rFonts w:eastAsia="Times New Roman"/>
        </w:rPr>
        <w:t>Zakon o financiranju jedinica lokalne i područne (regionalne) samouprave (N</w:t>
      </w:r>
      <w:r>
        <w:rPr>
          <w:rFonts w:eastAsia="Times New Roman"/>
        </w:rPr>
        <w:t xml:space="preserve">N </w:t>
      </w:r>
      <w:r w:rsidRPr="00AF032D">
        <w:rPr>
          <w:rFonts w:eastAsia="Times New Roman"/>
        </w:rPr>
        <w:t>br.  127/17, 138/20)</w:t>
      </w:r>
    </w:p>
    <w:p w14:paraId="586CFAA0" w14:textId="2A12D947" w:rsidR="00AF032D" w:rsidRP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proračunskom računovodstvu i računskom planu (Narodne novine br. 124/14, 115/15, 87/16, 3/18, 126/19 i 108/20)</w:t>
      </w:r>
    </w:p>
    <w:p w14:paraId="0E8C0701" w14:textId="6BCCD955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financijskom izvještavanju u proračunskom računovodstvu (</w:t>
      </w:r>
      <w:r>
        <w:rPr>
          <w:rFonts w:eastAsia="Times New Roman"/>
        </w:rPr>
        <w:t xml:space="preserve">NN </w:t>
      </w:r>
      <w:r w:rsidRPr="00AF032D">
        <w:rPr>
          <w:rFonts w:eastAsia="Times New Roman"/>
        </w:rPr>
        <w:t>br. 3/15, 93/15, 135/15, 2/17, 28/17, 112/18, 126/19, 145/20 i 32/21)</w:t>
      </w:r>
    </w:p>
    <w:p w14:paraId="59B5DE7F" w14:textId="62A9F9B5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polugodišnjem i godišnjem izvještaju o izvršenju proračuna (</w:t>
      </w:r>
      <w:r>
        <w:rPr>
          <w:rFonts w:eastAsia="Times New Roman"/>
        </w:rPr>
        <w:t>NN</w:t>
      </w:r>
      <w:r w:rsidRPr="00AF032D">
        <w:rPr>
          <w:rFonts w:eastAsia="Times New Roman"/>
        </w:rPr>
        <w:t xml:space="preserve"> br. 24/13, 102/17, 1/20 i 147/20)</w:t>
      </w:r>
    </w:p>
    <w:p w14:paraId="31258AF9" w14:textId="50A57E48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Pravilnik o proračunskim klasifikacijama (</w:t>
      </w:r>
      <w:r>
        <w:rPr>
          <w:rFonts w:eastAsia="Times New Roman"/>
        </w:rPr>
        <w:t>NN</w:t>
      </w:r>
      <w:r w:rsidRPr="00AF032D">
        <w:rPr>
          <w:rFonts w:eastAsia="Times New Roman"/>
        </w:rPr>
        <w:t xml:space="preserve"> br. 26/10, 120/13 i 01/20) </w:t>
      </w:r>
    </w:p>
    <w:p w14:paraId="08514E53" w14:textId="14EB8610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Zakon o fiskalnoj odgovornosti (</w:t>
      </w:r>
      <w:r w:rsidR="00F719AA">
        <w:rPr>
          <w:rFonts w:eastAsia="Times New Roman"/>
        </w:rPr>
        <w:t>NN</w:t>
      </w:r>
      <w:r w:rsidRPr="00AF032D">
        <w:rPr>
          <w:rFonts w:eastAsia="Times New Roman"/>
        </w:rPr>
        <w:t xml:space="preserve"> br.  111/18)</w:t>
      </w:r>
    </w:p>
    <w:p w14:paraId="32366DCA" w14:textId="1CEE4E5F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Uredba o sastavljanju i predaji Izjave o fiskalnoj odgovornosti i izvještaja o primjeni fiskalnih pravila (</w:t>
      </w:r>
      <w:r w:rsidR="00F719AA">
        <w:rPr>
          <w:rFonts w:eastAsia="Times New Roman"/>
        </w:rPr>
        <w:t>NN</w:t>
      </w:r>
      <w:r w:rsidRPr="00AF032D">
        <w:rPr>
          <w:rFonts w:eastAsia="Times New Roman"/>
        </w:rPr>
        <w:t xml:space="preserve"> br. 95/19)</w:t>
      </w:r>
    </w:p>
    <w:p w14:paraId="6D1EBB97" w14:textId="32D0405B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Zakon o porezu na dohodak (</w:t>
      </w:r>
      <w:r w:rsidR="00F719AA">
        <w:rPr>
          <w:rFonts w:eastAsia="Times New Roman"/>
        </w:rPr>
        <w:t>NN</w:t>
      </w:r>
      <w:r w:rsidRPr="00AF032D">
        <w:rPr>
          <w:rFonts w:eastAsia="Times New Roman"/>
        </w:rPr>
        <w:t xml:space="preserve"> br.  115/16, 106/18, 121/19, 32/20, 138/20)</w:t>
      </w:r>
    </w:p>
    <w:p w14:paraId="4F0F8E8F" w14:textId="72FC7D73" w:rsidR="00AF032D" w:rsidRP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>Zakon o lokalnim porezima (</w:t>
      </w:r>
      <w:bookmarkStart w:id="1" w:name="_Hlk103934828"/>
      <w:r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Pr="00AF032D">
        <w:rPr>
          <w:rFonts w:eastAsia="Times New Roman"/>
        </w:rPr>
        <w:t xml:space="preserve"> </w:t>
      </w:r>
      <w:bookmarkEnd w:id="1"/>
      <w:r w:rsidRPr="00AF032D">
        <w:rPr>
          <w:rFonts w:eastAsia="Times New Roman"/>
        </w:rPr>
        <w:fldChar w:fldCharType="begin"/>
      </w:r>
      <w:r w:rsidRPr="00AF032D">
        <w:rPr>
          <w:rFonts w:eastAsia="Times New Roman"/>
        </w:rPr>
        <w:instrText xml:space="preserve"> HYPERLINK "http://narodne-novine.nn.hr/clanci/sluzbeni/2010_02_26_610.html" </w:instrText>
      </w:r>
      <w:r w:rsidRPr="00AF032D">
        <w:rPr>
          <w:rFonts w:eastAsia="Times New Roman"/>
        </w:rPr>
        <w:fldChar w:fldCharType="separate"/>
      </w:r>
      <w:r w:rsidRPr="00AF032D">
        <w:rPr>
          <w:rStyle w:val="Hiperveza"/>
          <w:rFonts w:eastAsia="Times New Roman"/>
          <w:color w:val="auto"/>
          <w:u w:val="none"/>
        </w:rPr>
        <w:t>115/1</w:t>
      </w:r>
      <w:r w:rsidRPr="00AF032D">
        <w:rPr>
          <w:rFonts w:eastAsia="Times New Roman"/>
        </w:rPr>
        <w:fldChar w:fldCharType="end"/>
      </w:r>
      <w:r w:rsidRPr="00AF032D">
        <w:rPr>
          <w:rFonts w:eastAsia="Times New Roman"/>
        </w:rPr>
        <w:t>6. i 101/1</w:t>
      </w:r>
      <w:hyperlink r:id="rId5" w:history="1">
        <w:r w:rsidRPr="00AF032D">
          <w:rPr>
            <w:rStyle w:val="Hiperveza"/>
            <w:rFonts w:eastAsia="Times New Roman"/>
            <w:color w:val="auto"/>
          </w:rPr>
          <w:t>7</w:t>
        </w:r>
      </w:hyperlink>
      <w:r w:rsidRPr="00AF032D">
        <w:rPr>
          <w:rFonts w:eastAsia="Times New Roman"/>
        </w:rPr>
        <w:t xml:space="preserve">.) </w:t>
      </w:r>
    </w:p>
    <w:p w14:paraId="22DCE3C9" w14:textId="1792A694" w:rsidR="00AF032D" w:rsidRP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porezu na dodanu vrijednost </w:t>
      </w:r>
      <w:r w:rsidR="00F719AA">
        <w:rPr>
          <w:rFonts w:eastAsia="Times New Roman"/>
        </w:rPr>
        <w:t>(</w:t>
      </w:r>
      <w:r w:rsidR="00F719AA" w:rsidRPr="00F719AA">
        <w:rPr>
          <w:rFonts w:eastAsia="Times New Roman"/>
        </w:rPr>
        <w:t xml:space="preserve">NN br. </w:t>
      </w:r>
      <w:r w:rsidRPr="00AF032D">
        <w:rPr>
          <w:rFonts w:eastAsia="Times New Roman"/>
        </w:rPr>
        <w:t xml:space="preserve">73/13., 99/13., 148/13., 153/13., 143/14., 115/16., 106/18., 121/19., 138/20. i 39/22.) </w:t>
      </w:r>
    </w:p>
    <w:p w14:paraId="0F1B55B6" w14:textId="65CD704A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Pravilnik o utvrđivanju proračunskih i izvanproračunskih korisnika državnog proračuna i proračunskih i izvanproračunskih korisnika proračuna jedinica lokalne i područne (regionalne) samouprave te o načinu vođenja Registra </w:t>
      </w:r>
      <w:r w:rsidR="00F719AA" w:rsidRPr="00F719AA">
        <w:rPr>
          <w:rFonts w:eastAsia="Times New Roman"/>
        </w:rPr>
        <w:t xml:space="preserve">NN br. </w:t>
      </w:r>
      <w:hyperlink r:id="rId6" w:history="1">
        <w:r w:rsidRPr="00AF032D">
          <w:rPr>
            <w:rStyle w:val="Hiperveza"/>
            <w:rFonts w:eastAsia="Times New Roman"/>
            <w:color w:val="auto"/>
            <w:u w:val="none"/>
          </w:rPr>
          <w:t>128/09</w:t>
        </w:r>
      </w:hyperlink>
      <w:r w:rsidRPr="00AF032D">
        <w:rPr>
          <w:rFonts w:eastAsia="Times New Roman"/>
        </w:rPr>
        <w:t xml:space="preserve">., </w:t>
      </w:r>
      <w:hyperlink r:id="rId7" w:history="1">
        <w:r w:rsidRPr="00AF032D">
          <w:rPr>
            <w:rStyle w:val="Hiperveza"/>
            <w:rFonts w:eastAsia="Times New Roman"/>
            <w:color w:val="auto"/>
            <w:u w:val="none"/>
          </w:rPr>
          <w:t>142/14</w:t>
        </w:r>
      </w:hyperlink>
      <w:r w:rsidRPr="00AF032D">
        <w:rPr>
          <w:rFonts w:eastAsia="Times New Roman"/>
        </w:rPr>
        <w:t xml:space="preserve">., 23/19., 83/21.) </w:t>
      </w:r>
    </w:p>
    <w:p w14:paraId="26B3E9BB" w14:textId="528F23EB" w:rsidR="00AF032D" w:rsidRPr="00F719AA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Pravilnik o postupku zaduživanja te davanja jamstava i suglasnosti jedinica lokalne i područne (regionalne) samouprave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="00F719AA" w:rsidRPr="00AF032D">
        <w:rPr>
          <w:rFonts w:eastAsia="Times New Roman"/>
        </w:rPr>
        <w:t xml:space="preserve"> </w:t>
      </w:r>
      <w:hyperlink r:id="rId8" w:history="1">
        <w:r w:rsidRPr="00F719AA">
          <w:rPr>
            <w:rStyle w:val="Hiperveza"/>
            <w:rFonts w:eastAsia="Times New Roman"/>
            <w:color w:val="auto"/>
            <w:u w:val="none"/>
          </w:rPr>
          <w:t>55/09</w:t>
        </w:r>
      </w:hyperlink>
      <w:r w:rsidRPr="00F719AA">
        <w:rPr>
          <w:rFonts w:eastAsia="Times New Roman"/>
        </w:rPr>
        <w:t xml:space="preserve">. i </w:t>
      </w:r>
      <w:hyperlink r:id="rId9" w:history="1">
        <w:r w:rsidRPr="00F719AA">
          <w:rPr>
            <w:rStyle w:val="Hiperveza"/>
            <w:rFonts w:eastAsia="Times New Roman"/>
            <w:color w:val="auto"/>
            <w:u w:val="none"/>
          </w:rPr>
          <w:t>139/10</w:t>
        </w:r>
      </w:hyperlink>
      <w:r w:rsidRPr="00F719AA">
        <w:rPr>
          <w:rFonts w:eastAsia="Times New Roman"/>
        </w:rPr>
        <w:t xml:space="preserve">.) </w:t>
      </w:r>
    </w:p>
    <w:p w14:paraId="5F1A70C4" w14:textId="5861BDA5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javnoj nabavi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="00F719AA" w:rsidRPr="00AF032D">
        <w:rPr>
          <w:rFonts w:eastAsia="Times New Roman"/>
        </w:rPr>
        <w:t xml:space="preserve"> </w:t>
      </w:r>
      <w:r w:rsidRPr="00AF032D">
        <w:rPr>
          <w:rFonts w:eastAsia="Times New Roman"/>
        </w:rPr>
        <w:t>120/16.)</w:t>
      </w:r>
    </w:p>
    <w:p w14:paraId="1464F422" w14:textId="38B54386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sustavu unutarnjih financijskih kontrola u javnom sektoru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="00F719AA" w:rsidRPr="00AF032D">
        <w:rPr>
          <w:rFonts w:eastAsia="Times New Roman"/>
        </w:rPr>
        <w:t xml:space="preserve"> </w:t>
      </w:r>
      <w:r w:rsidRPr="00AF032D">
        <w:rPr>
          <w:rFonts w:eastAsia="Times New Roman"/>
        </w:rPr>
        <w:t xml:space="preserve">78/15. i 102/19.) </w:t>
      </w:r>
    </w:p>
    <w:p w14:paraId="7FF68986" w14:textId="1CEC4AB1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Zakon o komunalnom gospodarstvu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Pr="00AF032D">
        <w:rPr>
          <w:rFonts w:eastAsia="Times New Roman"/>
        </w:rPr>
        <w:t xml:space="preserve">  68/18., 110/18. i 32/20.) </w:t>
      </w:r>
    </w:p>
    <w:p w14:paraId="3006DD54" w14:textId="2FFA2811" w:rsidR="00AF032D" w:rsidRDefault="00AF032D" w:rsidP="00AF032D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AF032D">
        <w:rPr>
          <w:rFonts w:eastAsia="Times New Roman"/>
        </w:rPr>
        <w:t xml:space="preserve">Uredba o uredskom poslovanju </w:t>
      </w:r>
      <w:r w:rsidR="00F719AA">
        <w:rPr>
          <w:rFonts w:eastAsia="Times New Roman"/>
        </w:rPr>
        <w:t>(</w:t>
      </w:r>
      <w:r w:rsidR="00F719AA" w:rsidRPr="00AF032D">
        <w:rPr>
          <w:rFonts w:eastAsia="Times New Roman"/>
        </w:rPr>
        <w:t>N</w:t>
      </w:r>
      <w:r w:rsidR="00F719AA">
        <w:rPr>
          <w:rFonts w:eastAsia="Times New Roman"/>
        </w:rPr>
        <w:t>N br.</w:t>
      </w:r>
      <w:r w:rsidR="00F719AA" w:rsidRPr="00AF032D">
        <w:rPr>
          <w:rFonts w:eastAsia="Times New Roman"/>
        </w:rPr>
        <w:t xml:space="preserve"> </w:t>
      </w:r>
      <w:r w:rsidRPr="00AF032D">
        <w:rPr>
          <w:rFonts w:eastAsia="Times New Roman"/>
        </w:rPr>
        <w:t xml:space="preserve"> 75/21.)</w:t>
      </w:r>
    </w:p>
    <w:p w14:paraId="18628CD3" w14:textId="6BA89BEA" w:rsidR="00F719AA" w:rsidRDefault="00F719AA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719AA">
        <w:rPr>
          <w:rFonts w:eastAsia="Times New Roman"/>
        </w:rPr>
        <w:t xml:space="preserve">Zakona o službenicima i namještenicima u lokalnoj i područnoj (regionalnoj) samoupravi </w:t>
      </w:r>
      <w:r>
        <w:rPr>
          <w:rFonts w:eastAsia="Times New Roman"/>
        </w:rPr>
        <w:t xml:space="preserve">NN br. </w:t>
      </w:r>
      <w:r w:rsidRPr="00F719AA">
        <w:rPr>
          <w:rFonts w:eastAsia="Times New Roman"/>
        </w:rPr>
        <w:t xml:space="preserve"> 86/08., 61/11., 4/18. i 112/19.)</w:t>
      </w:r>
    </w:p>
    <w:p w14:paraId="64596029" w14:textId="17C13F5D" w:rsidR="00AF032D" w:rsidRPr="00F719AA" w:rsidRDefault="00AF032D" w:rsidP="00AB301B">
      <w:pPr>
        <w:pStyle w:val="Odlomakpopis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F719AA">
        <w:rPr>
          <w:rFonts w:eastAsia="Times New Roman"/>
        </w:rPr>
        <w:t>Statut Općine Viškovo (“Službene novine Općine Viškovo” broj: 3/18., 2/20. i 4/21).</w:t>
      </w:r>
    </w:p>
    <w:sectPr w:rsidR="00AF032D" w:rsidRPr="00F71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-38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31F"/>
    <w:multiLevelType w:val="hybridMultilevel"/>
    <w:tmpl w:val="38AED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93BB4"/>
    <w:multiLevelType w:val="hybridMultilevel"/>
    <w:tmpl w:val="6C1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165DE"/>
    <w:multiLevelType w:val="hybridMultilevel"/>
    <w:tmpl w:val="74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5320C"/>
    <w:rsid w:val="00156DE2"/>
    <w:rsid w:val="001968A8"/>
    <w:rsid w:val="002D638F"/>
    <w:rsid w:val="0031309F"/>
    <w:rsid w:val="00324FA8"/>
    <w:rsid w:val="00367578"/>
    <w:rsid w:val="00380C4E"/>
    <w:rsid w:val="003C42C3"/>
    <w:rsid w:val="003E11B0"/>
    <w:rsid w:val="004508AE"/>
    <w:rsid w:val="004A281F"/>
    <w:rsid w:val="004C1DCD"/>
    <w:rsid w:val="005161FF"/>
    <w:rsid w:val="00517EE5"/>
    <w:rsid w:val="00534692"/>
    <w:rsid w:val="005A16DD"/>
    <w:rsid w:val="00601E61"/>
    <w:rsid w:val="00653DF1"/>
    <w:rsid w:val="00662F1E"/>
    <w:rsid w:val="0067040D"/>
    <w:rsid w:val="006B296C"/>
    <w:rsid w:val="00741FF1"/>
    <w:rsid w:val="007B0935"/>
    <w:rsid w:val="008816C2"/>
    <w:rsid w:val="008F24CB"/>
    <w:rsid w:val="00937A59"/>
    <w:rsid w:val="00961936"/>
    <w:rsid w:val="00964E27"/>
    <w:rsid w:val="009E1893"/>
    <w:rsid w:val="009E1FCC"/>
    <w:rsid w:val="009E5C22"/>
    <w:rsid w:val="009F1D3E"/>
    <w:rsid w:val="00A6579E"/>
    <w:rsid w:val="00AD510B"/>
    <w:rsid w:val="00AF032D"/>
    <w:rsid w:val="00B11F6B"/>
    <w:rsid w:val="00B904A5"/>
    <w:rsid w:val="00B92CA9"/>
    <w:rsid w:val="00B9545C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A0E88"/>
    <w:rsid w:val="00E65C46"/>
    <w:rsid w:val="00E926FE"/>
    <w:rsid w:val="00EC0C22"/>
    <w:rsid w:val="00EC517F"/>
    <w:rsid w:val="00F223FE"/>
    <w:rsid w:val="00F719AA"/>
    <w:rsid w:val="00F872BF"/>
    <w:rsid w:val="00FB13BB"/>
    <w:rsid w:val="00FC3DA1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4A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9_05_55_12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4_12_142_26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9_10_128_315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rodne-novine.nn.hr/clanci/sluzbeni/2013_09_120_258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0_12_139_354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11</cp:revision>
  <dcterms:created xsi:type="dcterms:W3CDTF">2022-05-12T12:12:00Z</dcterms:created>
  <dcterms:modified xsi:type="dcterms:W3CDTF">2022-05-25T16:08:00Z</dcterms:modified>
</cp:coreProperties>
</file>